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F169" w14:textId="77777777" w:rsidR="00A160B2" w:rsidRDefault="00A160B2" w:rsidP="00A160B2">
      <w:pPr>
        <w:spacing w:after="480"/>
      </w:pPr>
      <w:r>
        <w:rPr>
          <w:rFonts w:ascii="Arial Black" w:hAnsi="Arial Black"/>
          <w:noProof/>
          <w:color w:val="999999"/>
          <w:sz w:val="36"/>
          <w:szCs w:val="36"/>
          <w:lang w:eastAsia="en-GB"/>
        </w:rPr>
        <w:drawing>
          <wp:inline distT="0" distB="0" distL="0" distR="0" wp14:anchorId="2770095F" wp14:editId="10243F1B">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20" w:firstRow="1" w:lastRow="0" w:firstColumn="0" w:lastColumn="0" w:noHBand="0" w:noVBand="0"/>
        <w:tblCaption w:val="Cabinet report summary details"/>
      </w:tblPr>
      <w:tblGrid>
        <w:gridCol w:w="3388"/>
        <w:gridCol w:w="4921"/>
      </w:tblGrid>
      <w:tr w:rsidR="007E1DF8" w14:paraId="64763F04" w14:textId="77777777" w:rsidTr="00092C63">
        <w:trPr>
          <w:tblHeader/>
        </w:trPr>
        <w:tc>
          <w:tcPr>
            <w:tcW w:w="3388" w:type="dxa"/>
            <w:tcBorders>
              <w:bottom w:val="single" w:sz="18" w:space="0" w:color="auto"/>
            </w:tcBorders>
          </w:tcPr>
          <w:p w14:paraId="03AAEF70" w14:textId="0EE522F4" w:rsidR="007E1DF8" w:rsidRPr="00B805DB" w:rsidRDefault="007E1DF8" w:rsidP="007E1DF8">
            <w:pPr>
              <w:pStyle w:val="Heading1"/>
              <w:spacing w:after="240"/>
              <w:outlineLvl w:val="0"/>
            </w:pPr>
            <w:r>
              <w:t>Report f</w:t>
            </w:r>
            <w:r w:rsidRPr="00C869F3">
              <w:t>or:</w:t>
            </w:r>
          </w:p>
        </w:tc>
        <w:tc>
          <w:tcPr>
            <w:tcW w:w="4921" w:type="dxa"/>
            <w:tcBorders>
              <w:bottom w:val="single" w:sz="18" w:space="0" w:color="auto"/>
            </w:tcBorders>
          </w:tcPr>
          <w:p w14:paraId="74A7B6FA" w14:textId="77777777" w:rsidR="007E1DF8" w:rsidRDefault="007E1DF8" w:rsidP="007E1DF8">
            <w:pPr>
              <w:pStyle w:val="Infotext"/>
              <w:rPr>
                <w:rFonts w:ascii="Arial Black" w:hAnsi="Arial Black" w:cs="Arial"/>
                <w:sz w:val="36"/>
                <w:szCs w:val="36"/>
              </w:rPr>
            </w:pPr>
            <w:r>
              <w:rPr>
                <w:rFonts w:ascii="Arial Black" w:hAnsi="Arial Black" w:cs="Arial"/>
                <w:sz w:val="36"/>
                <w:szCs w:val="36"/>
              </w:rPr>
              <w:t>Council</w:t>
            </w:r>
          </w:p>
          <w:p w14:paraId="38CE7BF5" w14:textId="5FE87A46" w:rsidR="007E1DF8" w:rsidRPr="00A160B2" w:rsidRDefault="007E1DF8" w:rsidP="007E1DF8">
            <w:pPr>
              <w:pStyle w:val="Heading1"/>
              <w:outlineLvl w:val="0"/>
              <w:rPr>
                <w:color w:val="0000FF"/>
                <w:szCs w:val="24"/>
              </w:rPr>
            </w:pPr>
          </w:p>
        </w:tc>
      </w:tr>
      <w:tr w:rsidR="007E1DF8" w14:paraId="16A514FC" w14:textId="77777777" w:rsidTr="00092C63">
        <w:tc>
          <w:tcPr>
            <w:tcW w:w="3388" w:type="dxa"/>
            <w:tcBorders>
              <w:top w:val="single" w:sz="18" w:space="0" w:color="auto"/>
            </w:tcBorders>
          </w:tcPr>
          <w:p w14:paraId="275C7491" w14:textId="77777777" w:rsidR="007E1DF8" w:rsidRPr="00F92398" w:rsidRDefault="007E1DF8" w:rsidP="007E1DF8">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20F098AC" w14:textId="77777777" w:rsidR="007E1DF8" w:rsidRPr="00F92398" w:rsidRDefault="007E1DF8" w:rsidP="007E1DF8">
            <w:pPr>
              <w:pStyle w:val="Infotext"/>
              <w:rPr>
                <w:rFonts w:ascii="Arial Black" w:hAnsi="Arial Black" w:cs="Arial"/>
              </w:rPr>
            </w:pPr>
          </w:p>
        </w:tc>
        <w:tc>
          <w:tcPr>
            <w:tcW w:w="4921" w:type="dxa"/>
            <w:tcBorders>
              <w:top w:val="single" w:sz="18" w:space="0" w:color="auto"/>
            </w:tcBorders>
          </w:tcPr>
          <w:p w14:paraId="491DC897" w14:textId="534D7CAB" w:rsidR="007E1DF8" w:rsidRDefault="00D27E67" w:rsidP="007E1DF8">
            <w:pPr>
              <w:pStyle w:val="Infotext"/>
              <w:rPr>
                <w:rFonts w:cs="Arial"/>
              </w:rPr>
            </w:pPr>
            <w:r>
              <w:rPr>
                <w:rFonts w:cs="Arial"/>
              </w:rPr>
              <w:t>30 September</w:t>
            </w:r>
            <w:r w:rsidR="007D33AC">
              <w:rPr>
                <w:rFonts w:cs="Arial"/>
              </w:rPr>
              <w:t xml:space="preserve"> 2021</w:t>
            </w:r>
          </w:p>
        </w:tc>
      </w:tr>
      <w:tr w:rsidR="007E1DF8" w14:paraId="30614B7E" w14:textId="77777777" w:rsidTr="00092C63">
        <w:tc>
          <w:tcPr>
            <w:tcW w:w="3388" w:type="dxa"/>
          </w:tcPr>
          <w:p w14:paraId="5622D000" w14:textId="77777777" w:rsidR="007E1DF8" w:rsidRPr="00F92398" w:rsidRDefault="007E1DF8" w:rsidP="007E1DF8">
            <w:pPr>
              <w:pStyle w:val="Infotext"/>
              <w:rPr>
                <w:rFonts w:ascii="Arial Black" w:hAnsi="Arial Black" w:cs="Arial"/>
              </w:rPr>
            </w:pPr>
            <w:r w:rsidRPr="00F92398">
              <w:rPr>
                <w:rFonts w:ascii="Arial Black" w:hAnsi="Arial Black" w:cs="Arial"/>
              </w:rPr>
              <w:t>Subject:</w:t>
            </w:r>
          </w:p>
          <w:p w14:paraId="109282A5" w14:textId="77777777" w:rsidR="007E1DF8" w:rsidRPr="00F92398" w:rsidRDefault="007E1DF8" w:rsidP="007E1DF8">
            <w:pPr>
              <w:pStyle w:val="Infotext"/>
              <w:rPr>
                <w:rFonts w:ascii="Arial Black" w:hAnsi="Arial Black"/>
              </w:rPr>
            </w:pPr>
          </w:p>
        </w:tc>
        <w:tc>
          <w:tcPr>
            <w:tcW w:w="4921" w:type="dxa"/>
          </w:tcPr>
          <w:p w14:paraId="2D41171E" w14:textId="77777777" w:rsidR="007E1DF8" w:rsidRDefault="007E1DF8" w:rsidP="007E1DF8">
            <w:pPr>
              <w:rPr>
                <w:rFonts w:ascii="Arial Black" w:hAnsi="Arial Black" w:cs="Arial"/>
                <w:sz w:val="28"/>
              </w:rPr>
            </w:pPr>
            <w:r>
              <w:rPr>
                <w:rFonts w:ascii="Arial Black" w:hAnsi="Arial Black" w:cs="Arial"/>
                <w:sz w:val="28"/>
              </w:rPr>
              <w:t>Information Report - Decisions taken under the Urgency Procedure - Executive</w:t>
            </w:r>
          </w:p>
          <w:p w14:paraId="5FAAA3F8" w14:textId="77777777" w:rsidR="007E1DF8" w:rsidRDefault="007E1DF8" w:rsidP="007E1DF8">
            <w:pPr>
              <w:pStyle w:val="Infotext"/>
              <w:rPr>
                <w:rFonts w:cs="Arial"/>
              </w:rPr>
            </w:pPr>
          </w:p>
        </w:tc>
      </w:tr>
      <w:tr w:rsidR="007E1DF8" w14:paraId="4C63AA76" w14:textId="77777777" w:rsidTr="00092C63">
        <w:tc>
          <w:tcPr>
            <w:tcW w:w="3388" w:type="dxa"/>
          </w:tcPr>
          <w:p w14:paraId="1F99F7EB" w14:textId="77777777" w:rsidR="007E1DF8" w:rsidRPr="00F92398" w:rsidRDefault="007E1DF8" w:rsidP="007E1DF8">
            <w:pPr>
              <w:pStyle w:val="Infotext"/>
              <w:rPr>
                <w:rFonts w:ascii="Arial Black" w:hAnsi="Arial Black" w:cs="Arial"/>
              </w:rPr>
            </w:pPr>
            <w:r w:rsidRPr="00F92398">
              <w:rPr>
                <w:rFonts w:ascii="Arial Black" w:hAnsi="Arial Black" w:cs="Arial"/>
              </w:rPr>
              <w:t>Responsible Officer:</w:t>
            </w:r>
          </w:p>
          <w:p w14:paraId="70C8AF5C" w14:textId="77777777" w:rsidR="007E1DF8" w:rsidRPr="00F92398" w:rsidRDefault="007E1DF8" w:rsidP="007E1DF8">
            <w:pPr>
              <w:pStyle w:val="Infotext"/>
              <w:rPr>
                <w:rFonts w:ascii="Arial Black" w:hAnsi="Arial Black" w:cs="Arial"/>
              </w:rPr>
            </w:pPr>
          </w:p>
        </w:tc>
        <w:tc>
          <w:tcPr>
            <w:tcW w:w="4921" w:type="dxa"/>
          </w:tcPr>
          <w:p w14:paraId="34A58171" w14:textId="3520A6ED" w:rsidR="007E1DF8" w:rsidRDefault="007E1DF8" w:rsidP="007E1DF8">
            <w:pPr>
              <w:pStyle w:val="Infotext"/>
              <w:rPr>
                <w:rFonts w:cs="Arial"/>
              </w:rPr>
            </w:pPr>
            <w:r>
              <w:rPr>
                <w:rFonts w:cs="Arial"/>
              </w:rPr>
              <w:t xml:space="preserve">Hugh Peart – Monitoring Officer </w:t>
            </w:r>
          </w:p>
        </w:tc>
      </w:tr>
      <w:tr w:rsidR="00A160B2" w14:paraId="4BBD44EF" w14:textId="77777777" w:rsidTr="00092C63">
        <w:tc>
          <w:tcPr>
            <w:tcW w:w="3388" w:type="dxa"/>
          </w:tcPr>
          <w:p w14:paraId="268F459D" w14:textId="77777777" w:rsidR="00A160B2" w:rsidRPr="00F92398" w:rsidRDefault="00A160B2" w:rsidP="006C3150">
            <w:pPr>
              <w:pStyle w:val="Infotext"/>
              <w:rPr>
                <w:rFonts w:ascii="Arial Black" w:hAnsi="Arial Black" w:cs="Arial"/>
              </w:rPr>
            </w:pPr>
            <w:r w:rsidRPr="00F92398">
              <w:rPr>
                <w:rFonts w:ascii="Arial Black" w:hAnsi="Arial Black" w:cs="Arial"/>
              </w:rPr>
              <w:t>Exempt:</w:t>
            </w:r>
          </w:p>
          <w:p w14:paraId="616E5C38" w14:textId="77777777" w:rsidR="00A160B2" w:rsidRPr="00F92398" w:rsidRDefault="00A160B2" w:rsidP="006C3150">
            <w:pPr>
              <w:pStyle w:val="Infotext"/>
              <w:rPr>
                <w:rFonts w:ascii="Arial Black" w:hAnsi="Arial Black" w:cs="Arial"/>
              </w:rPr>
            </w:pPr>
          </w:p>
        </w:tc>
        <w:tc>
          <w:tcPr>
            <w:tcW w:w="4921" w:type="dxa"/>
          </w:tcPr>
          <w:p w14:paraId="61D4B56C" w14:textId="11E2C441" w:rsidR="00A160B2" w:rsidRDefault="00A160B2" w:rsidP="006C3150">
            <w:pPr>
              <w:pStyle w:val="Infotext"/>
              <w:rPr>
                <w:rFonts w:cs="Arial"/>
              </w:rPr>
            </w:pPr>
            <w:r>
              <w:rPr>
                <w:rFonts w:cs="Arial"/>
              </w:rPr>
              <w:t>No</w:t>
            </w:r>
          </w:p>
          <w:p w14:paraId="28C5EA61" w14:textId="77777777" w:rsidR="00A160B2" w:rsidRDefault="00A160B2" w:rsidP="00460070">
            <w:pPr>
              <w:pStyle w:val="Infotext"/>
              <w:rPr>
                <w:rFonts w:cs="Arial"/>
              </w:rPr>
            </w:pPr>
          </w:p>
        </w:tc>
      </w:tr>
    </w:tbl>
    <w:p w14:paraId="322781DE" w14:textId="77777777" w:rsidR="007E1DF8" w:rsidRDefault="007E1DF8"/>
    <w:tbl>
      <w:tblPr>
        <w:tblStyle w:val="TableGridLight"/>
        <w:tblW w:w="0" w:type="auto"/>
        <w:tblLook w:val="0020" w:firstRow="1" w:lastRow="0" w:firstColumn="0" w:lastColumn="0" w:noHBand="0" w:noVBand="0"/>
        <w:tblCaption w:val="Section 1 – Summary and Recommendations"/>
        <w:tblDescription w:val="Section 1 – Summary and Recommendations text box"/>
      </w:tblPr>
      <w:tblGrid>
        <w:gridCol w:w="8299"/>
      </w:tblGrid>
      <w:tr w:rsidR="00A160B2" w14:paraId="63A60343" w14:textId="77777777" w:rsidTr="00092C63">
        <w:tc>
          <w:tcPr>
            <w:tcW w:w="8309" w:type="dxa"/>
            <w:tcBorders>
              <w:bottom w:val="single" w:sz="4" w:space="0" w:color="auto"/>
            </w:tcBorders>
          </w:tcPr>
          <w:p w14:paraId="194ABF9F" w14:textId="77777777" w:rsidR="00A160B2" w:rsidRDefault="00A160B2" w:rsidP="00912904">
            <w:pPr>
              <w:pStyle w:val="Heading2"/>
              <w:spacing w:before="240" w:after="240"/>
            </w:pPr>
            <w:r>
              <w:t>Section 1 – Summary and Recommendations</w:t>
            </w:r>
          </w:p>
        </w:tc>
      </w:tr>
      <w:tr w:rsidR="00A160B2" w14:paraId="1B687BFF" w14:textId="77777777" w:rsidTr="00092C63">
        <w:tc>
          <w:tcPr>
            <w:tcW w:w="8309" w:type="dxa"/>
            <w:tcBorders>
              <w:top w:val="single" w:sz="4" w:space="0" w:color="auto"/>
            </w:tcBorders>
          </w:tcPr>
          <w:p w14:paraId="42C54048" w14:textId="52CA0255" w:rsidR="00460070" w:rsidRDefault="00460070" w:rsidP="00460070">
            <w:r w:rsidRPr="0036406F">
              <w:t>This report sets out</w:t>
            </w:r>
            <w:r>
              <w:t xml:space="preserve"> details of decisions taken under the Urgency procedure by the Cabinet</w:t>
            </w:r>
            <w:r w:rsidR="001E6295">
              <w:t xml:space="preserve"> and </w:t>
            </w:r>
            <w:r>
              <w:t xml:space="preserve">Leader of the Council since the meeting of the Council on </w:t>
            </w:r>
            <w:r w:rsidR="00DA4797">
              <w:t>25 February 2021</w:t>
            </w:r>
            <w:r>
              <w:t>.</w:t>
            </w:r>
          </w:p>
          <w:p w14:paraId="243FE01A" w14:textId="77777777" w:rsidR="00460070" w:rsidRPr="008E37B3" w:rsidRDefault="00460070" w:rsidP="00460070">
            <w:pPr>
              <w:rPr>
                <w:rFonts w:cs="Arial"/>
                <w:color w:val="00FFFF"/>
              </w:rPr>
            </w:pPr>
          </w:p>
          <w:p w14:paraId="0C22501F" w14:textId="46937444" w:rsidR="00A160B2" w:rsidRPr="00460070" w:rsidRDefault="00460070" w:rsidP="00460070">
            <w:pPr>
              <w:ind w:left="720" w:hanging="720"/>
              <w:jc w:val="both"/>
              <w:rPr>
                <w:rFonts w:cs="Arial"/>
                <w:b/>
                <w:bCs/>
                <w:sz w:val="28"/>
              </w:rPr>
            </w:pPr>
            <w:r>
              <w:rPr>
                <w:rFonts w:cs="Arial"/>
                <w:b/>
                <w:bCs/>
                <w:sz w:val="28"/>
              </w:rPr>
              <w:t>For Information</w:t>
            </w:r>
          </w:p>
        </w:tc>
      </w:tr>
    </w:tbl>
    <w:p w14:paraId="35E37927" w14:textId="64E2C36F" w:rsidR="005B6F7B" w:rsidRDefault="002A2389" w:rsidP="005B6F7B">
      <w:pPr>
        <w:pStyle w:val="Heading2"/>
      </w:pPr>
      <w:r>
        <w:t>Report</w:t>
      </w:r>
    </w:p>
    <w:p w14:paraId="72AB909A" w14:textId="77777777" w:rsidR="005B6F7B" w:rsidRPr="00D7344B" w:rsidRDefault="005B6F7B" w:rsidP="005B6F7B"/>
    <w:p w14:paraId="3AD75011" w14:textId="77777777" w:rsidR="005B6F7B" w:rsidRDefault="005B6F7B" w:rsidP="005B6F7B">
      <w:pPr>
        <w:rPr>
          <w:rFonts w:cs="Arial"/>
          <w:szCs w:val="24"/>
        </w:rPr>
      </w:pPr>
      <w:r>
        <w:rPr>
          <w:rFonts w:cs="Arial"/>
          <w:szCs w:val="24"/>
        </w:rPr>
        <w:t xml:space="preserve">In accordance with Committee Procedure Rule 47.6 set out in Part 4 of the Council’s Constitution, any </w:t>
      </w:r>
      <w:r w:rsidRPr="0036406F">
        <w:rPr>
          <w:rFonts w:cs="Arial"/>
          <w:szCs w:val="24"/>
        </w:rPr>
        <w:t>Executive decisions taken as a matter of urgency are reported to the next available meeting of the Council.</w:t>
      </w:r>
      <w:r>
        <w:rPr>
          <w:rFonts w:cs="Arial"/>
          <w:szCs w:val="24"/>
        </w:rPr>
        <w:t xml:space="preserve"> </w:t>
      </w:r>
    </w:p>
    <w:p w14:paraId="71277A35" w14:textId="77777777" w:rsidR="005B6F7B" w:rsidRDefault="005B6F7B" w:rsidP="005B6F7B">
      <w:pPr>
        <w:rPr>
          <w:rFonts w:cs="Arial"/>
          <w:szCs w:val="24"/>
        </w:rPr>
      </w:pPr>
    </w:p>
    <w:p w14:paraId="128841E3" w14:textId="7D3C9EDA" w:rsidR="005B6F7B" w:rsidRDefault="005B6F7B" w:rsidP="005B6F7B">
      <w:pPr>
        <w:rPr>
          <w:rFonts w:cs="Arial"/>
          <w:szCs w:val="24"/>
        </w:rPr>
      </w:pPr>
      <w:r>
        <w:rPr>
          <w:rFonts w:cs="Arial"/>
          <w:szCs w:val="24"/>
        </w:rPr>
        <w:t>There have been</w:t>
      </w:r>
      <w:r w:rsidR="006840AC">
        <w:rPr>
          <w:rFonts w:cs="Arial"/>
          <w:szCs w:val="24"/>
        </w:rPr>
        <w:t xml:space="preserve"> </w:t>
      </w:r>
      <w:r w:rsidR="00FE075A">
        <w:rPr>
          <w:rFonts w:cs="Arial"/>
          <w:szCs w:val="24"/>
        </w:rPr>
        <w:t>one</w:t>
      </w:r>
      <w:r w:rsidR="00151D7F">
        <w:rPr>
          <w:rFonts w:cs="Arial"/>
          <w:szCs w:val="24"/>
        </w:rPr>
        <w:t xml:space="preserve"> </w:t>
      </w:r>
      <w:r>
        <w:rPr>
          <w:rFonts w:cs="Arial"/>
          <w:szCs w:val="24"/>
        </w:rPr>
        <w:t xml:space="preserve">such decision taken since the Council meeting on </w:t>
      </w:r>
      <w:r w:rsidR="00DA4797">
        <w:rPr>
          <w:rFonts w:cs="Arial"/>
          <w:szCs w:val="24"/>
        </w:rPr>
        <w:t>25 February 2021</w:t>
      </w:r>
      <w:r>
        <w:rPr>
          <w:rFonts w:cs="Arial"/>
          <w:szCs w:val="24"/>
        </w:rPr>
        <w:t>, the details of which are below:</w:t>
      </w:r>
    </w:p>
    <w:p w14:paraId="796F8E3C" w14:textId="47B08A42" w:rsidR="007C41F7" w:rsidRDefault="007C41F7" w:rsidP="005B6F7B">
      <w:pPr>
        <w:rPr>
          <w:rFonts w:cs="Arial"/>
          <w:szCs w:val="24"/>
        </w:rPr>
      </w:pPr>
    </w:p>
    <w:tbl>
      <w:tblPr>
        <w:tblStyle w:val="TableGrid"/>
        <w:tblW w:w="9092" w:type="dxa"/>
        <w:tblLayout w:type="fixed"/>
        <w:tblLook w:val="01E0" w:firstRow="1" w:lastRow="1" w:firstColumn="1" w:lastColumn="1" w:noHBand="0" w:noVBand="0"/>
      </w:tblPr>
      <w:tblGrid>
        <w:gridCol w:w="3188"/>
        <w:gridCol w:w="2953"/>
        <w:gridCol w:w="2951"/>
      </w:tblGrid>
      <w:tr w:rsidR="007C41F7" w:rsidRPr="00CC0D36" w14:paraId="5033EAD0" w14:textId="77777777" w:rsidTr="00092C63">
        <w:tc>
          <w:tcPr>
            <w:tcW w:w="3188" w:type="dxa"/>
          </w:tcPr>
          <w:p w14:paraId="68FDDAF5" w14:textId="77777777" w:rsidR="007C41F7" w:rsidRPr="00CC0D36" w:rsidRDefault="007C41F7" w:rsidP="00FA7313">
            <w:pPr>
              <w:rPr>
                <w:rFonts w:cs="Arial"/>
                <w:b/>
                <w:szCs w:val="24"/>
              </w:rPr>
            </w:pPr>
            <w:r w:rsidRPr="00CC0D36">
              <w:rPr>
                <w:rFonts w:cs="Arial"/>
                <w:b/>
                <w:szCs w:val="24"/>
              </w:rPr>
              <w:t>Subject</w:t>
            </w:r>
          </w:p>
        </w:tc>
        <w:tc>
          <w:tcPr>
            <w:tcW w:w="2953" w:type="dxa"/>
          </w:tcPr>
          <w:p w14:paraId="6DC5CF21" w14:textId="77777777" w:rsidR="007C41F7" w:rsidRPr="00CC0D36" w:rsidRDefault="007C41F7" w:rsidP="00FA7313">
            <w:pPr>
              <w:rPr>
                <w:rFonts w:cs="Arial"/>
                <w:b/>
                <w:szCs w:val="24"/>
              </w:rPr>
            </w:pPr>
            <w:r w:rsidRPr="00CC0D36">
              <w:rPr>
                <w:rFonts w:cs="Arial"/>
                <w:b/>
                <w:szCs w:val="24"/>
              </w:rPr>
              <w:t xml:space="preserve">Decision Maker </w:t>
            </w:r>
          </w:p>
          <w:p w14:paraId="58A814EE" w14:textId="77777777" w:rsidR="007C41F7" w:rsidRPr="00CC0D36" w:rsidRDefault="007C41F7" w:rsidP="00FA7313">
            <w:pPr>
              <w:rPr>
                <w:rFonts w:cs="Arial"/>
                <w:szCs w:val="24"/>
              </w:rPr>
            </w:pPr>
          </w:p>
        </w:tc>
        <w:tc>
          <w:tcPr>
            <w:tcW w:w="2951" w:type="dxa"/>
          </w:tcPr>
          <w:p w14:paraId="4337D6B0" w14:textId="77777777" w:rsidR="007C41F7" w:rsidRPr="00CC0D36" w:rsidRDefault="007C41F7" w:rsidP="00FA7313">
            <w:pPr>
              <w:rPr>
                <w:rFonts w:cs="Arial"/>
                <w:b/>
                <w:szCs w:val="24"/>
              </w:rPr>
            </w:pPr>
            <w:r w:rsidRPr="00CC0D36">
              <w:rPr>
                <w:rFonts w:cs="Arial"/>
                <w:b/>
                <w:szCs w:val="24"/>
              </w:rPr>
              <w:t>Reason for Urgency</w:t>
            </w:r>
          </w:p>
        </w:tc>
      </w:tr>
      <w:tr w:rsidR="007C41F7" w:rsidRPr="00CC0D36" w14:paraId="00920E0A" w14:textId="77777777" w:rsidTr="00092C63">
        <w:tc>
          <w:tcPr>
            <w:tcW w:w="3188" w:type="dxa"/>
          </w:tcPr>
          <w:p w14:paraId="72C41556" w14:textId="741EB563" w:rsidR="007C41F7" w:rsidRDefault="00FE075A" w:rsidP="00FA7313">
            <w:pPr>
              <w:rPr>
                <w:rFonts w:cs="Arial"/>
                <w:szCs w:val="24"/>
              </w:rPr>
            </w:pPr>
            <w:r>
              <w:rPr>
                <w:rFonts w:cs="Arial"/>
                <w:szCs w:val="24"/>
              </w:rPr>
              <w:t>Leisure Contract – Future Delivery Options</w:t>
            </w:r>
          </w:p>
        </w:tc>
        <w:tc>
          <w:tcPr>
            <w:tcW w:w="2953" w:type="dxa"/>
          </w:tcPr>
          <w:p w14:paraId="67737408" w14:textId="389AF02B" w:rsidR="007C41F7" w:rsidRDefault="00FE075A" w:rsidP="00FA7313">
            <w:pPr>
              <w:rPr>
                <w:rFonts w:cs="Arial"/>
                <w:szCs w:val="24"/>
              </w:rPr>
            </w:pPr>
            <w:r>
              <w:rPr>
                <w:rFonts w:cs="Arial"/>
                <w:szCs w:val="24"/>
              </w:rPr>
              <w:t>Cabinet – 29 April 2021</w:t>
            </w:r>
          </w:p>
        </w:tc>
        <w:tc>
          <w:tcPr>
            <w:tcW w:w="2951" w:type="dxa"/>
          </w:tcPr>
          <w:p w14:paraId="5B950FF5" w14:textId="43EE2E27" w:rsidR="007C41F7" w:rsidRPr="002D75F7" w:rsidRDefault="00FE075A" w:rsidP="007C41F7">
            <w:pPr>
              <w:spacing w:after="240"/>
              <w:rPr>
                <w:rFonts w:cs="Arial"/>
                <w:szCs w:val="24"/>
                <w:lang w:eastAsia="en-GB"/>
              </w:rPr>
            </w:pPr>
            <w:r w:rsidRPr="00FE075A">
              <w:rPr>
                <w:rFonts w:cs="Arial"/>
                <w:szCs w:val="24"/>
                <w:lang w:eastAsia="en-GB"/>
              </w:rPr>
              <w:t xml:space="preserve">To enable the Council to enter into a funding agreement with the Council’s leisure operator, Sports and Leisure Management (Ltd) (Everyone Active) </w:t>
            </w:r>
            <w:r w:rsidRPr="00FE075A">
              <w:rPr>
                <w:rFonts w:cs="Arial"/>
                <w:szCs w:val="24"/>
                <w:lang w:eastAsia="en-GB"/>
              </w:rPr>
              <w:lastRenderedPageBreak/>
              <w:t>as soon as possible to ensure that the Council’s 3 leisure facilities can remain open following government approval to do so on 12 April 2021</w:t>
            </w:r>
          </w:p>
        </w:tc>
      </w:tr>
    </w:tbl>
    <w:p w14:paraId="5AB4E68F" w14:textId="5980D80E" w:rsidR="007C41F7" w:rsidRDefault="007C41F7" w:rsidP="005B6F7B">
      <w:pPr>
        <w:rPr>
          <w:rFonts w:cs="Arial"/>
        </w:rPr>
      </w:pPr>
      <w:bookmarkStart w:id="0" w:name="_GoBack"/>
      <w:bookmarkEnd w:id="0"/>
    </w:p>
    <w:p w14:paraId="37455F96" w14:textId="5B0107B0" w:rsidR="00802AC9" w:rsidRDefault="00802AC9" w:rsidP="00802AC9">
      <w:pPr>
        <w:rPr>
          <w:rFonts w:cs="Arial"/>
          <w:szCs w:val="24"/>
        </w:rPr>
      </w:pPr>
      <w:r w:rsidRPr="00296A43">
        <w:rPr>
          <w:rFonts w:cs="Arial"/>
          <w:szCs w:val="24"/>
        </w:rPr>
        <w:t xml:space="preserve">Ward Councillors, outside organisations and interested parties were consulted on </w:t>
      </w:r>
      <w:r>
        <w:rPr>
          <w:rFonts w:cs="Arial"/>
          <w:szCs w:val="24"/>
        </w:rPr>
        <w:t>the report</w:t>
      </w:r>
      <w:r w:rsidR="006E5810">
        <w:rPr>
          <w:rFonts w:cs="Arial"/>
          <w:szCs w:val="24"/>
        </w:rPr>
        <w:t>s</w:t>
      </w:r>
      <w:r>
        <w:rPr>
          <w:rFonts w:cs="Arial"/>
          <w:szCs w:val="24"/>
        </w:rPr>
        <w:t xml:space="preserve"> considered </w:t>
      </w:r>
      <w:r w:rsidR="001E6295">
        <w:rPr>
          <w:rFonts w:cs="Arial"/>
          <w:szCs w:val="24"/>
        </w:rPr>
        <w:t xml:space="preserve">by </w:t>
      </w:r>
      <w:r w:rsidR="006E5810">
        <w:rPr>
          <w:rFonts w:cs="Arial"/>
          <w:szCs w:val="24"/>
        </w:rPr>
        <w:t xml:space="preserve">Cabinet and </w:t>
      </w:r>
      <w:r w:rsidRPr="00296A43">
        <w:rPr>
          <w:rFonts w:cs="Arial"/>
          <w:szCs w:val="24"/>
        </w:rPr>
        <w:t>the Leade</w:t>
      </w:r>
      <w:r w:rsidR="006E5810">
        <w:rPr>
          <w:rFonts w:cs="Arial"/>
          <w:szCs w:val="24"/>
        </w:rPr>
        <w:t>r, as appropriate.</w:t>
      </w:r>
    </w:p>
    <w:p w14:paraId="7B70D382" w14:textId="77777777" w:rsidR="00802AC9" w:rsidRDefault="00802AC9" w:rsidP="00802AC9">
      <w:pPr>
        <w:rPr>
          <w:rFonts w:cs="Arial"/>
          <w:szCs w:val="24"/>
        </w:rPr>
      </w:pPr>
    </w:p>
    <w:p w14:paraId="326F1026" w14:textId="1F159AD3" w:rsidR="00802AC9" w:rsidRDefault="00802AC9" w:rsidP="00802AC9">
      <w:pPr>
        <w:rPr>
          <w:rFonts w:cs="Arial"/>
          <w:szCs w:val="24"/>
        </w:rPr>
      </w:pPr>
      <w:r>
        <w:rPr>
          <w:rFonts w:cs="Arial"/>
          <w:szCs w:val="24"/>
        </w:rPr>
        <w:t>As the decision w</w:t>
      </w:r>
      <w:r w:rsidR="00FE075A">
        <w:rPr>
          <w:rFonts w:cs="Arial"/>
          <w:szCs w:val="24"/>
        </w:rPr>
        <w:t>as</w:t>
      </w:r>
      <w:r>
        <w:rPr>
          <w:rFonts w:cs="Arial"/>
          <w:szCs w:val="24"/>
        </w:rPr>
        <w:t xml:space="preserve"> deemed urgent, the agreement of the Chair of the Overview and Scrutiny Committee was obtained that the decision would not be subject to the call-in procedure.</w:t>
      </w:r>
    </w:p>
    <w:p w14:paraId="1CDD2B02" w14:textId="77777777" w:rsidR="006E5810" w:rsidRDefault="006E5810" w:rsidP="00802AC9">
      <w:pPr>
        <w:rPr>
          <w:rFonts w:cs="Arial"/>
          <w:szCs w:val="24"/>
        </w:rPr>
      </w:pPr>
    </w:p>
    <w:p w14:paraId="171A7794" w14:textId="6D6A1F29" w:rsidR="006E5810" w:rsidRDefault="006E5810" w:rsidP="00802AC9">
      <w:pPr>
        <w:rPr>
          <w:rFonts w:cs="Arial"/>
          <w:szCs w:val="24"/>
        </w:rPr>
      </w:pPr>
    </w:p>
    <w:p w14:paraId="44A46CE2" w14:textId="2CCF023D" w:rsidR="006E5810" w:rsidRDefault="006E5810" w:rsidP="00802AC9">
      <w:pPr>
        <w:rPr>
          <w:rFonts w:cs="Arial"/>
          <w:b/>
          <w:bCs/>
          <w:szCs w:val="24"/>
        </w:rPr>
      </w:pPr>
      <w:r>
        <w:rPr>
          <w:rFonts w:cs="Arial"/>
          <w:b/>
          <w:bCs/>
          <w:szCs w:val="24"/>
        </w:rPr>
        <w:t>General Exception</w:t>
      </w:r>
      <w:r w:rsidR="001E6295">
        <w:rPr>
          <w:rFonts w:cs="Arial"/>
          <w:b/>
          <w:bCs/>
          <w:szCs w:val="24"/>
        </w:rPr>
        <w:t>,</w:t>
      </w:r>
      <w:r>
        <w:rPr>
          <w:rFonts w:cs="Arial"/>
          <w:b/>
          <w:bCs/>
          <w:szCs w:val="24"/>
        </w:rPr>
        <w:t xml:space="preserve"> </w:t>
      </w:r>
      <w:r w:rsidRPr="006E5810">
        <w:rPr>
          <w:rFonts w:cs="Arial"/>
          <w:b/>
          <w:bCs/>
          <w:szCs w:val="24"/>
        </w:rPr>
        <w:t>Special Urgency</w:t>
      </w:r>
      <w:r w:rsidR="001E6295">
        <w:rPr>
          <w:rFonts w:cs="Arial"/>
          <w:b/>
          <w:bCs/>
          <w:szCs w:val="24"/>
        </w:rPr>
        <w:t xml:space="preserve"> and Private Meetings</w:t>
      </w:r>
    </w:p>
    <w:p w14:paraId="67105E95" w14:textId="77777777" w:rsidR="006E5810" w:rsidRDefault="006E5810" w:rsidP="00802AC9">
      <w:pPr>
        <w:rPr>
          <w:rFonts w:cs="Arial"/>
          <w:b/>
          <w:bCs/>
          <w:szCs w:val="24"/>
        </w:rPr>
      </w:pPr>
    </w:p>
    <w:p w14:paraId="21728276" w14:textId="54DC092E" w:rsidR="00927C8D" w:rsidRDefault="006E5810" w:rsidP="00FE075A">
      <w:pPr>
        <w:rPr>
          <w:rFonts w:cs="Arial"/>
          <w:szCs w:val="24"/>
        </w:rPr>
      </w:pPr>
      <w:r>
        <w:rPr>
          <w:rFonts w:cs="Arial"/>
          <w:szCs w:val="24"/>
        </w:rPr>
        <w:t>In accordance with Rule 1</w:t>
      </w:r>
      <w:r w:rsidR="00FE075A">
        <w:rPr>
          <w:rFonts w:cs="Arial"/>
          <w:szCs w:val="24"/>
        </w:rPr>
        <w:t>7</w:t>
      </w:r>
      <w:r>
        <w:rPr>
          <w:rFonts w:cs="Arial"/>
          <w:szCs w:val="24"/>
        </w:rPr>
        <w:t xml:space="preserve"> of the Access to Information Procedure Rules, the Chair of the Overview and Scrutiny Committee </w:t>
      </w:r>
      <w:r w:rsidR="00FE075A">
        <w:rPr>
          <w:rFonts w:cs="Arial"/>
          <w:szCs w:val="24"/>
        </w:rPr>
        <w:t>agreed</w:t>
      </w:r>
      <w:r>
        <w:rPr>
          <w:rFonts w:cs="Arial"/>
          <w:szCs w:val="24"/>
        </w:rPr>
        <w:t xml:space="preserve"> that the </w:t>
      </w:r>
      <w:r w:rsidR="00435AB3">
        <w:rPr>
          <w:rFonts w:cs="Arial"/>
          <w:szCs w:val="24"/>
        </w:rPr>
        <w:t xml:space="preserve">key </w:t>
      </w:r>
      <w:r>
        <w:rPr>
          <w:rFonts w:cs="Arial"/>
          <w:szCs w:val="24"/>
        </w:rPr>
        <w:t>decision</w:t>
      </w:r>
      <w:r w:rsidR="00435AB3">
        <w:rPr>
          <w:rFonts w:cs="Arial"/>
          <w:szCs w:val="24"/>
        </w:rPr>
        <w:t>s</w:t>
      </w:r>
      <w:r>
        <w:rPr>
          <w:rFonts w:cs="Arial"/>
          <w:szCs w:val="24"/>
        </w:rPr>
        <w:t xml:space="preserve"> in relation </w:t>
      </w:r>
      <w:r w:rsidR="00FE075A" w:rsidRPr="00FE075A">
        <w:rPr>
          <w:rFonts w:cs="Arial"/>
          <w:szCs w:val="24"/>
        </w:rPr>
        <w:t xml:space="preserve">to the following recommendations from </w:t>
      </w:r>
      <w:r w:rsidR="00927C8D">
        <w:rPr>
          <w:rFonts w:cs="Arial"/>
          <w:szCs w:val="24"/>
        </w:rPr>
        <w:t>the</w:t>
      </w:r>
      <w:r w:rsidR="00FE075A" w:rsidRPr="00FE075A">
        <w:rPr>
          <w:rFonts w:cs="Arial"/>
          <w:szCs w:val="24"/>
        </w:rPr>
        <w:t xml:space="preserve"> Traffic and Road Safety Advisory Panel</w:t>
      </w:r>
      <w:r w:rsidR="00927C8D">
        <w:rPr>
          <w:rFonts w:cs="Arial"/>
          <w:szCs w:val="24"/>
        </w:rPr>
        <w:t xml:space="preserve"> (TARSAP)</w:t>
      </w:r>
      <w:r w:rsidR="00FE075A" w:rsidRPr="00FE075A">
        <w:rPr>
          <w:rFonts w:cs="Arial"/>
          <w:szCs w:val="24"/>
        </w:rPr>
        <w:t xml:space="preserve"> to Cabinet</w:t>
      </w:r>
      <w:r w:rsidR="00435AB3" w:rsidRPr="00FE075A">
        <w:rPr>
          <w:rFonts w:cs="Arial"/>
          <w:szCs w:val="24"/>
        </w:rPr>
        <w:t>,</w:t>
      </w:r>
      <w:r w:rsidR="00435AB3" w:rsidRPr="00151D7F">
        <w:rPr>
          <w:rFonts w:cs="Arial"/>
          <w:szCs w:val="24"/>
        </w:rPr>
        <w:t xml:space="preserve"> </w:t>
      </w:r>
      <w:r>
        <w:rPr>
          <w:rFonts w:cs="Arial"/>
          <w:szCs w:val="24"/>
        </w:rPr>
        <w:t>which had not been included on the Key Decision Schedule</w:t>
      </w:r>
      <w:r w:rsidR="00927C8D">
        <w:rPr>
          <w:rFonts w:cs="Arial"/>
          <w:szCs w:val="24"/>
        </w:rPr>
        <w:t>,</w:t>
      </w:r>
      <w:r w:rsidR="00FE075A">
        <w:rPr>
          <w:rFonts w:cs="Arial"/>
          <w:szCs w:val="24"/>
        </w:rPr>
        <w:t xml:space="preserve"> c</w:t>
      </w:r>
      <w:r>
        <w:rPr>
          <w:rFonts w:cs="Arial"/>
          <w:szCs w:val="24"/>
        </w:rPr>
        <w:t>ould be taken</w:t>
      </w:r>
      <w:r w:rsidR="00927C8D">
        <w:rPr>
          <w:rFonts w:cs="Arial"/>
          <w:szCs w:val="24"/>
        </w:rPr>
        <w:t>:</w:t>
      </w:r>
    </w:p>
    <w:p w14:paraId="4301C899" w14:textId="77777777" w:rsidR="00927C8D" w:rsidRDefault="00927C8D" w:rsidP="00FE075A">
      <w:pPr>
        <w:rPr>
          <w:rFonts w:cs="Arial"/>
          <w:szCs w:val="24"/>
        </w:rPr>
      </w:pPr>
    </w:p>
    <w:tbl>
      <w:tblPr>
        <w:tblStyle w:val="TableGrid"/>
        <w:tblW w:w="0" w:type="auto"/>
        <w:tblLook w:val="04A0" w:firstRow="1" w:lastRow="0" w:firstColumn="1" w:lastColumn="0" w:noHBand="0" w:noVBand="1"/>
      </w:tblPr>
      <w:tblGrid>
        <w:gridCol w:w="2766"/>
        <w:gridCol w:w="2766"/>
        <w:gridCol w:w="2767"/>
      </w:tblGrid>
      <w:tr w:rsidR="00927C8D" w14:paraId="2B3E8450" w14:textId="77777777" w:rsidTr="00927C8D">
        <w:tc>
          <w:tcPr>
            <w:tcW w:w="2766" w:type="dxa"/>
          </w:tcPr>
          <w:p w14:paraId="4ED515AD" w14:textId="71B8F744" w:rsidR="00927C8D" w:rsidRPr="00927C8D" w:rsidRDefault="00927C8D" w:rsidP="00FE075A">
            <w:pPr>
              <w:rPr>
                <w:rFonts w:cs="Arial"/>
                <w:b/>
                <w:bCs/>
                <w:szCs w:val="24"/>
              </w:rPr>
            </w:pPr>
            <w:r w:rsidRPr="00927C8D">
              <w:rPr>
                <w:rFonts w:cs="Arial"/>
                <w:b/>
                <w:bCs/>
                <w:szCs w:val="24"/>
              </w:rPr>
              <w:t xml:space="preserve">Subject </w:t>
            </w:r>
          </w:p>
        </w:tc>
        <w:tc>
          <w:tcPr>
            <w:tcW w:w="2766" w:type="dxa"/>
          </w:tcPr>
          <w:p w14:paraId="5FAD68E2" w14:textId="3BBCE8D5" w:rsidR="00927C8D" w:rsidRPr="00927C8D" w:rsidRDefault="00927C8D" w:rsidP="00FE075A">
            <w:pPr>
              <w:rPr>
                <w:rFonts w:cs="Arial"/>
                <w:b/>
                <w:bCs/>
                <w:szCs w:val="24"/>
              </w:rPr>
            </w:pPr>
            <w:r w:rsidRPr="00927C8D">
              <w:rPr>
                <w:rFonts w:cs="Arial"/>
                <w:b/>
                <w:bCs/>
                <w:szCs w:val="24"/>
              </w:rPr>
              <w:t>Decision Maker</w:t>
            </w:r>
          </w:p>
        </w:tc>
        <w:tc>
          <w:tcPr>
            <w:tcW w:w="2767" w:type="dxa"/>
          </w:tcPr>
          <w:p w14:paraId="1A9D9A8B" w14:textId="25DD0D5B" w:rsidR="00927C8D" w:rsidRPr="00927C8D" w:rsidRDefault="00927C8D" w:rsidP="00FE075A">
            <w:pPr>
              <w:rPr>
                <w:rFonts w:cs="Arial"/>
                <w:b/>
                <w:bCs/>
                <w:szCs w:val="24"/>
              </w:rPr>
            </w:pPr>
            <w:r w:rsidRPr="00927C8D">
              <w:rPr>
                <w:rFonts w:cs="Arial"/>
                <w:b/>
                <w:bCs/>
                <w:szCs w:val="24"/>
              </w:rPr>
              <w:t>Reason for Urgency</w:t>
            </w:r>
          </w:p>
        </w:tc>
      </w:tr>
      <w:tr w:rsidR="00927C8D" w14:paraId="37BD2AE8" w14:textId="77777777" w:rsidTr="00927C8D">
        <w:tc>
          <w:tcPr>
            <w:tcW w:w="2766" w:type="dxa"/>
          </w:tcPr>
          <w:p w14:paraId="6B56A14B" w14:textId="25E71201" w:rsidR="00927C8D" w:rsidRDefault="00927C8D" w:rsidP="00FE075A">
            <w:pPr>
              <w:rPr>
                <w:rFonts w:cs="Arial"/>
                <w:szCs w:val="24"/>
              </w:rPr>
            </w:pPr>
            <w:r>
              <w:rPr>
                <w:rFonts w:cs="Arial"/>
                <w:szCs w:val="24"/>
              </w:rPr>
              <w:t>TARSAP Recommendations:</w:t>
            </w:r>
          </w:p>
          <w:p w14:paraId="63D38271" w14:textId="77777777" w:rsidR="00927C8D" w:rsidRDefault="00927C8D" w:rsidP="00FE075A">
            <w:pPr>
              <w:rPr>
                <w:rFonts w:cs="Arial"/>
                <w:szCs w:val="24"/>
              </w:rPr>
            </w:pPr>
          </w:p>
          <w:p w14:paraId="534D6D46" w14:textId="2CAA7201" w:rsidR="00927C8D" w:rsidRDefault="00927C8D" w:rsidP="00927C8D">
            <w:pPr>
              <w:pStyle w:val="ListParagraph"/>
              <w:numPr>
                <w:ilvl w:val="0"/>
                <w:numId w:val="16"/>
              </w:numPr>
              <w:autoSpaceDE w:val="0"/>
              <w:autoSpaceDN w:val="0"/>
              <w:adjustRightInd w:val="0"/>
              <w:contextualSpacing/>
            </w:pPr>
            <w:r w:rsidRPr="00927C8D">
              <w:rPr>
                <w:b/>
                <w:bCs/>
              </w:rPr>
              <w:t xml:space="preserve"> </w:t>
            </w:r>
            <w:r w:rsidRPr="00927C8D">
              <w:t xml:space="preserve">The </w:t>
            </w:r>
            <w:proofErr w:type="spellStart"/>
            <w:r w:rsidRPr="00927C8D">
              <w:t>Streetspace</w:t>
            </w:r>
            <w:proofErr w:type="spellEnd"/>
            <w:r w:rsidRPr="00927C8D">
              <w:t xml:space="preserve"> Low Traffic Neighbourhoods (LTN) six-month review</w:t>
            </w:r>
          </w:p>
          <w:p w14:paraId="21E44856" w14:textId="77777777" w:rsidR="00927C8D" w:rsidRPr="00927C8D" w:rsidRDefault="00927C8D" w:rsidP="00927C8D">
            <w:pPr>
              <w:pStyle w:val="ListParagraph"/>
              <w:autoSpaceDE w:val="0"/>
              <w:autoSpaceDN w:val="0"/>
              <w:adjustRightInd w:val="0"/>
              <w:ind w:left="785"/>
              <w:contextualSpacing/>
            </w:pPr>
          </w:p>
          <w:p w14:paraId="5C66015A" w14:textId="4DB7D904" w:rsidR="00927C8D" w:rsidRDefault="00927C8D" w:rsidP="00927C8D">
            <w:pPr>
              <w:numPr>
                <w:ilvl w:val="0"/>
                <w:numId w:val="16"/>
              </w:numPr>
              <w:autoSpaceDE w:val="0"/>
              <w:autoSpaceDN w:val="0"/>
              <w:adjustRightInd w:val="0"/>
              <w:contextualSpacing/>
              <w:rPr>
                <w:rFonts w:eastAsia="Calibri" w:cs="Arial"/>
                <w:szCs w:val="24"/>
              </w:rPr>
            </w:pPr>
            <w:r w:rsidRPr="00927C8D">
              <w:rPr>
                <w:rFonts w:eastAsia="Calibri" w:cs="Arial"/>
                <w:szCs w:val="24"/>
              </w:rPr>
              <w:t xml:space="preserve">The </w:t>
            </w:r>
            <w:proofErr w:type="spellStart"/>
            <w:r w:rsidRPr="00927C8D">
              <w:rPr>
                <w:rFonts w:eastAsia="Calibri" w:cs="Arial"/>
                <w:szCs w:val="24"/>
              </w:rPr>
              <w:t>Streetspace</w:t>
            </w:r>
            <w:proofErr w:type="spellEnd"/>
            <w:r w:rsidRPr="00927C8D">
              <w:rPr>
                <w:rFonts w:eastAsia="Calibri" w:cs="Arial"/>
                <w:szCs w:val="24"/>
              </w:rPr>
              <w:t xml:space="preserve"> Cycle lane six-month review</w:t>
            </w:r>
          </w:p>
          <w:p w14:paraId="210D5D20" w14:textId="77777777" w:rsidR="00927C8D" w:rsidRPr="00927C8D" w:rsidRDefault="00927C8D" w:rsidP="00927C8D">
            <w:pPr>
              <w:autoSpaceDE w:val="0"/>
              <w:autoSpaceDN w:val="0"/>
              <w:adjustRightInd w:val="0"/>
              <w:contextualSpacing/>
              <w:rPr>
                <w:rFonts w:eastAsia="Calibri" w:cs="Arial"/>
                <w:szCs w:val="24"/>
              </w:rPr>
            </w:pPr>
          </w:p>
          <w:p w14:paraId="504EBB40" w14:textId="77777777" w:rsidR="00927C8D" w:rsidRPr="00927C8D" w:rsidRDefault="00927C8D" w:rsidP="00927C8D">
            <w:pPr>
              <w:numPr>
                <w:ilvl w:val="0"/>
                <w:numId w:val="16"/>
              </w:numPr>
              <w:autoSpaceDE w:val="0"/>
              <w:autoSpaceDN w:val="0"/>
              <w:adjustRightInd w:val="0"/>
              <w:contextualSpacing/>
              <w:rPr>
                <w:rFonts w:eastAsia="Calibri" w:cs="Arial"/>
                <w:szCs w:val="24"/>
              </w:rPr>
            </w:pPr>
            <w:r w:rsidRPr="00927C8D">
              <w:rPr>
                <w:rFonts w:eastAsia="Calibri" w:cs="Arial"/>
                <w:szCs w:val="24"/>
              </w:rPr>
              <w:t xml:space="preserve">The </w:t>
            </w:r>
            <w:proofErr w:type="spellStart"/>
            <w:r w:rsidRPr="00927C8D">
              <w:rPr>
                <w:rFonts w:eastAsia="Calibri" w:cs="Arial"/>
                <w:szCs w:val="24"/>
              </w:rPr>
              <w:t>Streetspace</w:t>
            </w:r>
            <w:proofErr w:type="spellEnd"/>
            <w:r w:rsidRPr="00927C8D">
              <w:rPr>
                <w:rFonts w:eastAsia="Calibri" w:cs="Arial"/>
                <w:szCs w:val="24"/>
              </w:rPr>
              <w:t xml:space="preserve"> School Streets six-month review</w:t>
            </w:r>
          </w:p>
          <w:p w14:paraId="1866C549" w14:textId="7772731E" w:rsidR="00927C8D" w:rsidRDefault="00927C8D" w:rsidP="00FE075A">
            <w:pPr>
              <w:rPr>
                <w:rFonts w:cs="Arial"/>
                <w:szCs w:val="24"/>
              </w:rPr>
            </w:pPr>
          </w:p>
        </w:tc>
        <w:tc>
          <w:tcPr>
            <w:tcW w:w="2766" w:type="dxa"/>
          </w:tcPr>
          <w:p w14:paraId="39AB3B4A" w14:textId="7CBF6A14" w:rsidR="00927C8D" w:rsidRDefault="00927C8D" w:rsidP="00FE075A">
            <w:pPr>
              <w:rPr>
                <w:rFonts w:cs="Arial"/>
                <w:szCs w:val="24"/>
              </w:rPr>
            </w:pPr>
            <w:r>
              <w:rPr>
                <w:rFonts w:cs="Arial"/>
                <w:szCs w:val="24"/>
              </w:rPr>
              <w:t>Cabinet – 29 April 2021</w:t>
            </w:r>
          </w:p>
        </w:tc>
        <w:tc>
          <w:tcPr>
            <w:tcW w:w="2767" w:type="dxa"/>
          </w:tcPr>
          <w:p w14:paraId="2A14342B" w14:textId="5E1141AA" w:rsidR="00927C8D" w:rsidRPr="00927C8D" w:rsidRDefault="00927C8D" w:rsidP="00927C8D">
            <w:pPr>
              <w:numPr>
                <w:ilvl w:val="0"/>
                <w:numId w:val="15"/>
              </w:numPr>
              <w:autoSpaceDE w:val="0"/>
              <w:autoSpaceDN w:val="0"/>
              <w:adjustRightInd w:val="0"/>
              <w:contextualSpacing/>
              <w:jc w:val="center"/>
              <w:rPr>
                <w:rFonts w:eastAsia="Calibri" w:cs="Arial"/>
                <w:b/>
                <w:szCs w:val="22"/>
              </w:rPr>
            </w:pPr>
            <w:r>
              <w:rPr>
                <w:rFonts w:eastAsia="Calibri" w:cs="Arial"/>
                <w:szCs w:val="24"/>
              </w:rPr>
              <w:t xml:space="preserve">The </w:t>
            </w:r>
            <w:r w:rsidRPr="00927C8D">
              <w:rPr>
                <w:rFonts w:eastAsia="Calibri" w:cs="Arial"/>
                <w:szCs w:val="24"/>
              </w:rPr>
              <w:t>TARSAP</w:t>
            </w:r>
            <w:r>
              <w:rPr>
                <w:rFonts w:eastAsia="Calibri" w:cs="Arial"/>
                <w:szCs w:val="24"/>
              </w:rPr>
              <w:t xml:space="preserve"> </w:t>
            </w:r>
            <w:r w:rsidRPr="00927C8D">
              <w:rPr>
                <w:rFonts w:eastAsia="Calibri" w:cs="Arial"/>
                <w:szCs w:val="24"/>
              </w:rPr>
              <w:t>met and made recommendations on 22 April 2021;</w:t>
            </w:r>
          </w:p>
          <w:p w14:paraId="64221FCC" w14:textId="77777777" w:rsidR="00927C8D" w:rsidRPr="00927C8D" w:rsidRDefault="00927C8D" w:rsidP="00927C8D">
            <w:pPr>
              <w:autoSpaceDE w:val="0"/>
              <w:autoSpaceDN w:val="0"/>
              <w:adjustRightInd w:val="0"/>
              <w:ind w:left="360"/>
              <w:contextualSpacing/>
              <w:jc w:val="center"/>
              <w:rPr>
                <w:rFonts w:eastAsia="Calibri" w:cs="Arial"/>
                <w:b/>
                <w:szCs w:val="22"/>
              </w:rPr>
            </w:pPr>
          </w:p>
          <w:p w14:paraId="0C2ACE92" w14:textId="5E374F91" w:rsidR="00927C8D" w:rsidRPr="00927C8D" w:rsidRDefault="00927C8D" w:rsidP="00927C8D">
            <w:pPr>
              <w:numPr>
                <w:ilvl w:val="0"/>
                <w:numId w:val="15"/>
              </w:numPr>
              <w:autoSpaceDE w:val="0"/>
              <w:autoSpaceDN w:val="0"/>
              <w:adjustRightInd w:val="0"/>
              <w:contextualSpacing/>
              <w:jc w:val="center"/>
              <w:rPr>
                <w:rFonts w:eastAsia="Calibri" w:cs="Arial"/>
                <w:b/>
                <w:szCs w:val="22"/>
              </w:rPr>
            </w:pPr>
            <w:r w:rsidRPr="00927C8D">
              <w:rPr>
                <w:rFonts w:eastAsia="Calibri" w:cs="Arial"/>
                <w:szCs w:val="24"/>
              </w:rPr>
              <w:t xml:space="preserve">The TARSAP </w:t>
            </w:r>
            <w:r>
              <w:rPr>
                <w:rFonts w:eastAsia="Calibri" w:cs="Arial"/>
                <w:szCs w:val="24"/>
              </w:rPr>
              <w:t xml:space="preserve">had </w:t>
            </w:r>
            <w:r w:rsidRPr="00927C8D">
              <w:rPr>
                <w:rFonts w:eastAsia="Calibri" w:cs="Arial"/>
                <w:szCs w:val="24"/>
              </w:rPr>
              <w:t xml:space="preserve">indicated that the recommendations </w:t>
            </w:r>
            <w:r>
              <w:rPr>
                <w:rFonts w:eastAsia="Calibri" w:cs="Arial"/>
                <w:szCs w:val="24"/>
              </w:rPr>
              <w:t>were</w:t>
            </w:r>
            <w:r w:rsidRPr="00927C8D">
              <w:rPr>
                <w:rFonts w:eastAsia="Calibri" w:cs="Arial"/>
                <w:szCs w:val="24"/>
              </w:rPr>
              <w:t xml:space="preserve"> urgent and should be considered at the April Cabinet meetin</w:t>
            </w:r>
            <w:r>
              <w:rPr>
                <w:rFonts w:eastAsia="Calibri" w:cs="Arial"/>
                <w:szCs w:val="24"/>
              </w:rPr>
              <w:t>g</w:t>
            </w:r>
            <w:r w:rsidRPr="00927C8D">
              <w:rPr>
                <w:rFonts w:eastAsia="Calibri" w:cs="Arial"/>
                <w:szCs w:val="24"/>
              </w:rPr>
              <w:t>.</w:t>
            </w:r>
          </w:p>
          <w:p w14:paraId="61437B5F" w14:textId="77777777" w:rsidR="00927C8D" w:rsidRPr="00927C8D" w:rsidRDefault="00927C8D" w:rsidP="00927C8D">
            <w:pPr>
              <w:ind w:left="720"/>
              <w:contextualSpacing/>
              <w:rPr>
                <w:rFonts w:eastAsia="Calibri" w:cs="Arial"/>
                <w:b/>
                <w:szCs w:val="22"/>
              </w:rPr>
            </w:pPr>
          </w:p>
          <w:p w14:paraId="74E0DE86" w14:textId="2D2900CB" w:rsidR="00927C8D" w:rsidRPr="00927C8D" w:rsidRDefault="00927C8D" w:rsidP="00927C8D">
            <w:pPr>
              <w:numPr>
                <w:ilvl w:val="0"/>
                <w:numId w:val="15"/>
              </w:numPr>
              <w:autoSpaceDE w:val="0"/>
              <w:autoSpaceDN w:val="0"/>
              <w:adjustRightInd w:val="0"/>
              <w:contextualSpacing/>
              <w:jc w:val="center"/>
              <w:rPr>
                <w:rFonts w:eastAsia="Calibri" w:cs="Arial"/>
                <w:bCs/>
                <w:szCs w:val="22"/>
              </w:rPr>
            </w:pPr>
            <w:r w:rsidRPr="00927C8D">
              <w:rPr>
                <w:rFonts w:eastAsia="Calibri" w:cs="Arial"/>
                <w:bCs/>
                <w:szCs w:val="22"/>
              </w:rPr>
              <w:t>The experimental traffic orders for the schemes ha</w:t>
            </w:r>
            <w:r>
              <w:rPr>
                <w:rFonts w:eastAsia="Calibri" w:cs="Arial"/>
                <w:bCs/>
                <w:szCs w:val="22"/>
              </w:rPr>
              <w:t>d</w:t>
            </w:r>
            <w:r w:rsidRPr="00927C8D">
              <w:rPr>
                <w:rFonts w:eastAsia="Calibri" w:cs="Arial"/>
                <w:bCs/>
                <w:szCs w:val="22"/>
              </w:rPr>
              <w:t xml:space="preserve"> a 6-month statutory consultation period that ended in March. It is necessary to consider the large number of public representations made and determine whether the traffic orders </w:t>
            </w:r>
            <w:r w:rsidRPr="00927C8D">
              <w:rPr>
                <w:rFonts w:eastAsia="Calibri" w:cs="Arial"/>
                <w:bCs/>
                <w:szCs w:val="22"/>
              </w:rPr>
              <w:lastRenderedPageBreak/>
              <w:t>should continue in force.</w:t>
            </w:r>
          </w:p>
          <w:p w14:paraId="71C5B3E9" w14:textId="77777777" w:rsidR="00927C8D" w:rsidRPr="00927C8D" w:rsidRDefault="00927C8D" w:rsidP="00927C8D">
            <w:pPr>
              <w:ind w:left="720"/>
              <w:contextualSpacing/>
              <w:rPr>
                <w:rFonts w:eastAsia="Calibri" w:cs="Arial"/>
                <w:bCs/>
                <w:szCs w:val="22"/>
              </w:rPr>
            </w:pPr>
          </w:p>
          <w:p w14:paraId="4893EDF3" w14:textId="1CCC1E0D" w:rsidR="00927C8D" w:rsidRPr="00927C8D" w:rsidRDefault="00927C8D" w:rsidP="00927C8D">
            <w:pPr>
              <w:numPr>
                <w:ilvl w:val="0"/>
                <w:numId w:val="15"/>
              </w:numPr>
              <w:autoSpaceDE w:val="0"/>
              <w:autoSpaceDN w:val="0"/>
              <w:adjustRightInd w:val="0"/>
              <w:contextualSpacing/>
              <w:jc w:val="center"/>
              <w:rPr>
                <w:rFonts w:eastAsia="Calibri" w:cs="Arial"/>
                <w:bCs/>
                <w:szCs w:val="22"/>
              </w:rPr>
            </w:pPr>
            <w:r w:rsidRPr="00927C8D">
              <w:rPr>
                <w:rFonts w:eastAsia="Calibri" w:cs="Arial"/>
                <w:color w:val="000000"/>
                <w:szCs w:val="24"/>
              </w:rPr>
              <w:t xml:space="preserve">Consideration by the TARSAP had already been delayed </w:t>
            </w:r>
            <w:proofErr w:type="gramStart"/>
            <w:r w:rsidRPr="00927C8D">
              <w:rPr>
                <w:rFonts w:eastAsia="Calibri" w:cs="Arial"/>
                <w:color w:val="000000"/>
                <w:szCs w:val="24"/>
              </w:rPr>
              <w:t>to</w:t>
            </w:r>
            <w:r>
              <w:rPr>
                <w:rFonts w:eastAsia="Calibri" w:cs="Arial"/>
                <w:color w:val="000000"/>
                <w:szCs w:val="24"/>
              </w:rPr>
              <w:t xml:space="preserve"> </w:t>
            </w:r>
            <w:r w:rsidRPr="00927C8D">
              <w:rPr>
                <w:rFonts w:eastAsia="Calibri" w:cs="Arial"/>
                <w:color w:val="000000"/>
                <w:szCs w:val="24"/>
              </w:rPr>
              <w:t>allow</w:t>
            </w:r>
            <w:proofErr w:type="gramEnd"/>
            <w:r w:rsidRPr="00927C8D">
              <w:rPr>
                <w:rFonts w:eastAsia="Calibri" w:cs="Arial"/>
                <w:color w:val="000000"/>
                <w:szCs w:val="24"/>
              </w:rPr>
              <w:t xml:space="preserve"> specific consultation to take place to ensure that residents' and other stakeholders' views were understood.  To delay further would lead to some schemes being in place for longer, despite TARSAP recommending removal based on the results of consultation</w:t>
            </w:r>
            <w:r>
              <w:rPr>
                <w:rFonts w:eastAsia="Calibri" w:cs="Arial"/>
                <w:color w:val="000000"/>
                <w:szCs w:val="24"/>
              </w:rPr>
              <w:t>.</w:t>
            </w:r>
          </w:p>
          <w:p w14:paraId="790E6171" w14:textId="77777777" w:rsidR="00927C8D" w:rsidRDefault="00927C8D" w:rsidP="00FE075A">
            <w:pPr>
              <w:rPr>
                <w:rFonts w:cs="Arial"/>
                <w:szCs w:val="24"/>
              </w:rPr>
            </w:pPr>
          </w:p>
        </w:tc>
      </w:tr>
    </w:tbl>
    <w:p w14:paraId="1B3A6327" w14:textId="41039F44" w:rsidR="006E5810" w:rsidRDefault="001E6295" w:rsidP="00FE075A">
      <w:pPr>
        <w:rPr>
          <w:rFonts w:cs="Arial"/>
          <w:szCs w:val="24"/>
        </w:rPr>
      </w:pPr>
      <w:r>
        <w:rPr>
          <w:rFonts w:cs="Arial"/>
          <w:szCs w:val="24"/>
        </w:rPr>
        <w:lastRenderedPageBreak/>
        <w:t xml:space="preserve"> </w:t>
      </w:r>
    </w:p>
    <w:p w14:paraId="6EC91EB6" w14:textId="2AC07FFF" w:rsidR="00FF6D00" w:rsidRDefault="00FF6D00" w:rsidP="00912904">
      <w:pPr>
        <w:pStyle w:val="Heading2"/>
        <w:keepNext/>
        <w:spacing w:after="240"/>
      </w:pPr>
      <w:r w:rsidRPr="00FF6D00">
        <w:rPr>
          <w:rFonts w:ascii="Arial" w:hAnsi="Arial"/>
          <w:sz w:val="24"/>
          <w:szCs w:val="24"/>
        </w:rPr>
        <w:t xml:space="preserve">The General Exception procedure </w:t>
      </w:r>
      <w:r>
        <w:rPr>
          <w:rFonts w:ascii="Arial" w:hAnsi="Arial"/>
          <w:sz w:val="24"/>
          <w:szCs w:val="24"/>
        </w:rPr>
        <w:t>has not been used since the last report to Council and nor has agreement needed to be sought from the Chair of the Overview and Scrutiny Committee for Cabinet to meet in private.</w:t>
      </w:r>
    </w:p>
    <w:p w14:paraId="3BECE9C8" w14:textId="0A79694B" w:rsidR="002A2389" w:rsidRDefault="002A2389" w:rsidP="00912904">
      <w:pPr>
        <w:pStyle w:val="Heading2"/>
        <w:keepNext/>
        <w:spacing w:after="240"/>
      </w:pPr>
      <w:r>
        <w:t>Contact Details and Background Papers</w:t>
      </w:r>
    </w:p>
    <w:p w14:paraId="2206AD15" w14:textId="77777777" w:rsidR="005E3F57" w:rsidRPr="005F5690" w:rsidRDefault="005E3F57" w:rsidP="005E3F57">
      <w:pPr>
        <w:pStyle w:val="Infotext"/>
      </w:pPr>
      <w:r>
        <w:t>Elaine McEachron, Democratic &amp; Electoral Services Manager</w:t>
      </w:r>
    </w:p>
    <w:p w14:paraId="752ACA01" w14:textId="3964347E" w:rsidR="005E3F57" w:rsidRDefault="005E3F57" w:rsidP="005E3F57">
      <w:pPr>
        <w:rPr>
          <w:rFonts w:cs="Arial"/>
        </w:rPr>
      </w:pPr>
      <w:r>
        <w:rPr>
          <w:rFonts w:cs="Arial"/>
        </w:rPr>
        <w:t>Tel:  020 8424 1097</w:t>
      </w:r>
    </w:p>
    <w:p w14:paraId="05947E3B" w14:textId="612A7DBB" w:rsidR="005E3F57" w:rsidRDefault="005E3F57" w:rsidP="005E3F57">
      <w:pPr>
        <w:rPr>
          <w:rFonts w:cs="Arial"/>
        </w:rPr>
      </w:pPr>
      <w:r>
        <w:rPr>
          <w:rFonts w:cs="Arial"/>
        </w:rPr>
        <w:t xml:space="preserve">E-mail:  </w:t>
      </w:r>
      <w:hyperlink r:id="rId8" w:history="1">
        <w:r w:rsidRPr="00B44C69">
          <w:rPr>
            <w:rStyle w:val="Hyperlink"/>
            <w:rFonts w:cs="Arial"/>
          </w:rPr>
          <w:t>elaine.mceachron@harrow.gov.uk</w:t>
        </w:r>
      </w:hyperlink>
      <w:r>
        <w:rPr>
          <w:rFonts w:cs="Arial"/>
        </w:rPr>
        <w:t xml:space="preserve"> </w:t>
      </w:r>
    </w:p>
    <w:p w14:paraId="2CBB4645" w14:textId="77777777" w:rsidR="005E3F57" w:rsidRDefault="005E3F57" w:rsidP="005E3F57">
      <w:pPr>
        <w:rPr>
          <w:rFonts w:cs="Arial"/>
        </w:rPr>
      </w:pPr>
    </w:p>
    <w:p w14:paraId="27839EAF" w14:textId="544DA6C9" w:rsidR="005E3F57" w:rsidRDefault="005E3F57" w:rsidP="005E3F57">
      <w:pPr>
        <w:pStyle w:val="Infotext"/>
        <w:rPr>
          <w:b/>
        </w:rPr>
      </w:pPr>
      <w:r w:rsidRPr="004B7F92">
        <w:rPr>
          <w:b/>
        </w:rPr>
        <w:t>Background Papers:</w:t>
      </w:r>
    </w:p>
    <w:p w14:paraId="7F6B5C56" w14:textId="77777777" w:rsidR="005E3F57" w:rsidRDefault="005E3F57" w:rsidP="005E3F57">
      <w:pPr>
        <w:pStyle w:val="Infotext"/>
      </w:pPr>
      <w:r>
        <w:t>Council’s Constitution</w:t>
      </w:r>
    </w:p>
    <w:p w14:paraId="0994AAFB" w14:textId="0AEB8C6B" w:rsidR="002A2389" w:rsidRDefault="005E3F57" w:rsidP="005E3F57">
      <w:pPr>
        <w:pStyle w:val="Infotext"/>
      </w:pPr>
      <w:r>
        <w:t>Rep</w:t>
      </w:r>
      <w:r w:rsidR="00FE075A">
        <w:t>orts considered by Cabinet on 29 April 2021</w:t>
      </w:r>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E1799" w14:textId="77777777" w:rsidR="00E609EF" w:rsidRDefault="00E609EF">
      <w:r>
        <w:separator/>
      </w:r>
    </w:p>
  </w:endnote>
  <w:endnote w:type="continuationSeparator" w:id="0">
    <w:p w14:paraId="7206C9C7" w14:textId="77777777"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AE1F" w14:textId="77777777" w:rsidR="00E609EF" w:rsidRDefault="00E609EF">
      <w:r>
        <w:separator/>
      </w:r>
    </w:p>
  </w:footnote>
  <w:footnote w:type="continuationSeparator" w:id="0">
    <w:p w14:paraId="360D37EA" w14:textId="77777777" w:rsidR="00E609EF" w:rsidRDefault="00E60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D5D5C"/>
    <w:multiLevelType w:val="hybridMultilevel"/>
    <w:tmpl w:val="5FB8871E"/>
    <w:lvl w:ilvl="0" w:tplc="6C580A0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9"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E1A01"/>
    <w:multiLevelType w:val="hybridMultilevel"/>
    <w:tmpl w:val="FE8E1858"/>
    <w:lvl w:ilvl="0" w:tplc="7A8A9BA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4"/>
  </w:num>
  <w:num w:numId="9">
    <w:abstractNumId w:val="3"/>
  </w:num>
  <w:num w:numId="10">
    <w:abstractNumId w:val="11"/>
  </w:num>
  <w:num w:numId="11">
    <w:abstractNumId w:val="15"/>
  </w:num>
  <w:num w:numId="12">
    <w:abstractNumId w:val="10"/>
  </w:num>
  <w:num w:numId="13">
    <w:abstractNumId w:val="2"/>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57F10"/>
    <w:rsid w:val="000633A2"/>
    <w:rsid w:val="000679D2"/>
    <w:rsid w:val="00071EB4"/>
    <w:rsid w:val="00077298"/>
    <w:rsid w:val="00092C63"/>
    <w:rsid w:val="000A58A1"/>
    <w:rsid w:val="000A6659"/>
    <w:rsid w:val="000B0E6F"/>
    <w:rsid w:val="000B6DBB"/>
    <w:rsid w:val="000D2BF2"/>
    <w:rsid w:val="000F65C0"/>
    <w:rsid w:val="00151D7F"/>
    <w:rsid w:val="001939BA"/>
    <w:rsid w:val="001A6EB0"/>
    <w:rsid w:val="001B441D"/>
    <w:rsid w:val="001C5225"/>
    <w:rsid w:val="001E0219"/>
    <w:rsid w:val="001E6295"/>
    <w:rsid w:val="00213BE7"/>
    <w:rsid w:val="00231A1D"/>
    <w:rsid w:val="00244120"/>
    <w:rsid w:val="00293F9F"/>
    <w:rsid w:val="002A2389"/>
    <w:rsid w:val="002C08E2"/>
    <w:rsid w:val="002C1794"/>
    <w:rsid w:val="002E6637"/>
    <w:rsid w:val="002E77E3"/>
    <w:rsid w:val="00305A9C"/>
    <w:rsid w:val="00332947"/>
    <w:rsid w:val="00333EB4"/>
    <w:rsid w:val="00345915"/>
    <w:rsid w:val="00365D29"/>
    <w:rsid w:val="00374F22"/>
    <w:rsid w:val="003B07BA"/>
    <w:rsid w:val="003D2FFE"/>
    <w:rsid w:val="00400032"/>
    <w:rsid w:val="0042394B"/>
    <w:rsid w:val="00435AB3"/>
    <w:rsid w:val="00460070"/>
    <w:rsid w:val="00473B08"/>
    <w:rsid w:val="00474B5F"/>
    <w:rsid w:val="004A3CE6"/>
    <w:rsid w:val="004B2C9D"/>
    <w:rsid w:val="004B4A47"/>
    <w:rsid w:val="004E667D"/>
    <w:rsid w:val="004E6AF9"/>
    <w:rsid w:val="005031DF"/>
    <w:rsid w:val="00597314"/>
    <w:rsid w:val="005A61AF"/>
    <w:rsid w:val="005B6F7B"/>
    <w:rsid w:val="005D0886"/>
    <w:rsid w:val="005E384D"/>
    <w:rsid w:val="005E3F57"/>
    <w:rsid w:val="005F2181"/>
    <w:rsid w:val="005F724B"/>
    <w:rsid w:val="00625DFF"/>
    <w:rsid w:val="0063072B"/>
    <w:rsid w:val="00662891"/>
    <w:rsid w:val="006628B7"/>
    <w:rsid w:val="00675FCB"/>
    <w:rsid w:val="006840AC"/>
    <w:rsid w:val="006C3914"/>
    <w:rsid w:val="006D3648"/>
    <w:rsid w:val="006E5810"/>
    <w:rsid w:val="0074184E"/>
    <w:rsid w:val="00743829"/>
    <w:rsid w:val="00755F8D"/>
    <w:rsid w:val="00796503"/>
    <w:rsid w:val="007C41F7"/>
    <w:rsid w:val="007D2BDA"/>
    <w:rsid w:val="007D33AC"/>
    <w:rsid w:val="007D56C8"/>
    <w:rsid w:val="007E1DF8"/>
    <w:rsid w:val="007E3934"/>
    <w:rsid w:val="007E7303"/>
    <w:rsid w:val="00802AC9"/>
    <w:rsid w:val="008212A0"/>
    <w:rsid w:val="00837F53"/>
    <w:rsid w:val="008D1750"/>
    <w:rsid w:val="008D7800"/>
    <w:rsid w:val="008E2910"/>
    <w:rsid w:val="008E4913"/>
    <w:rsid w:val="00900464"/>
    <w:rsid w:val="0090100E"/>
    <w:rsid w:val="00912904"/>
    <w:rsid w:val="00927C8D"/>
    <w:rsid w:val="0093767E"/>
    <w:rsid w:val="00972A02"/>
    <w:rsid w:val="0099517C"/>
    <w:rsid w:val="009A0937"/>
    <w:rsid w:val="009B2ECD"/>
    <w:rsid w:val="009B7914"/>
    <w:rsid w:val="009F430B"/>
    <w:rsid w:val="00A160B2"/>
    <w:rsid w:val="00A566E7"/>
    <w:rsid w:val="00A940D3"/>
    <w:rsid w:val="00A96FCA"/>
    <w:rsid w:val="00AA2720"/>
    <w:rsid w:val="00AA4BE8"/>
    <w:rsid w:val="00AC0AAB"/>
    <w:rsid w:val="00AC7BA9"/>
    <w:rsid w:val="00B0425E"/>
    <w:rsid w:val="00B900E2"/>
    <w:rsid w:val="00B9118E"/>
    <w:rsid w:val="00BD6115"/>
    <w:rsid w:val="00BD684A"/>
    <w:rsid w:val="00C32DAE"/>
    <w:rsid w:val="00C40E24"/>
    <w:rsid w:val="00C61B80"/>
    <w:rsid w:val="00C92D9A"/>
    <w:rsid w:val="00C96EF5"/>
    <w:rsid w:val="00CB60D1"/>
    <w:rsid w:val="00D25064"/>
    <w:rsid w:val="00D27E67"/>
    <w:rsid w:val="00D32B51"/>
    <w:rsid w:val="00D34668"/>
    <w:rsid w:val="00D3740E"/>
    <w:rsid w:val="00D40335"/>
    <w:rsid w:val="00D82F57"/>
    <w:rsid w:val="00D841A5"/>
    <w:rsid w:val="00D914D2"/>
    <w:rsid w:val="00DA25DB"/>
    <w:rsid w:val="00DA4797"/>
    <w:rsid w:val="00DB0791"/>
    <w:rsid w:val="00DD4251"/>
    <w:rsid w:val="00E02B50"/>
    <w:rsid w:val="00E03F11"/>
    <w:rsid w:val="00E06DC8"/>
    <w:rsid w:val="00E220B5"/>
    <w:rsid w:val="00E33D93"/>
    <w:rsid w:val="00E609EF"/>
    <w:rsid w:val="00E8515B"/>
    <w:rsid w:val="00E90AFF"/>
    <w:rsid w:val="00EF2F91"/>
    <w:rsid w:val="00F33EE3"/>
    <w:rsid w:val="00F4213B"/>
    <w:rsid w:val="00F849ED"/>
    <w:rsid w:val="00F92398"/>
    <w:rsid w:val="00FD31A0"/>
    <w:rsid w:val="00FE075A"/>
    <w:rsid w:val="00FF6AAD"/>
    <w:rsid w:val="00FF6D00"/>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3CA3E888"/>
  <w15:docId w15:val="{29E890B1-5994-49F6-A4B9-FEB4BD8C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5E3F57"/>
    <w:rPr>
      <w:color w:val="605E5C"/>
      <w:shd w:val="clear" w:color="auto" w:fill="E1DFDD"/>
    </w:rPr>
  </w:style>
  <w:style w:type="table" w:styleId="TableGrid">
    <w:name w:val="Table Grid"/>
    <w:basedOn w:val="TableNormal"/>
    <w:rsid w:val="00092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92C6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151D7F"/>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mceachron@harrow.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518</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3437</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Alison Atherton</cp:lastModifiedBy>
  <cp:revision>5</cp:revision>
  <cp:lastPrinted>2007-07-12T09:53:00Z</cp:lastPrinted>
  <dcterms:created xsi:type="dcterms:W3CDTF">2021-08-17T13:00:00Z</dcterms:created>
  <dcterms:modified xsi:type="dcterms:W3CDTF">2021-09-22T14:32:00Z</dcterms:modified>
</cp:coreProperties>
</file>